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69A42" w14:textId="77777777" w:rsidR="003C3ED0" w:rsidRDefault="003C3ED0" w:rsidP="005E203E">
      <w:pPr>
        <w:jc w:val="both"/>
        <w:rPr>
          <w:sz w:val="22"/>
          <w:szCs w:val="22"/>
          <w:lang w:eastAsia="cs-CZ"/>
        </w:rPr>
      </w:pPr>
      <w:bookmarkStart w:id="0" w:name="_GoBack"/>
      <w:bookmarkEnd w:id="0"/>
    </w:p>
    <w:p w14:paraId="6921588A" w14:textId="77777777" w:rsidR="00F32BDE" w:rsidRDefault="00F32BDE" w:rsidP="00F32BDE">
      <w:pPr>
        <w:tabs>
          <w:tab w:val="center" w:pos="4536"/>
          <w:tab w:val="right" w:pos="9072"/>
        </w:tabs>
      </w:pPr>
      <w:r>
        <w:t>Príloha č. 4 r</w:t>
      </w:r>
      <w:r>
        <w:rPr>
          <w:szCs w:val="20"/>
        </w:rPr>
        <w:t>ozhodnutia o schválení žiadosti o poskytnutie nenávratného finančného príspevku</w:t>
      </w:r>
      <w:r>
        <w:t xml:space="preserve">* </w:t>
      </w:r>
    </w:p>
    <w:p w14:paraId="3F4E90AE" w14:textId="77777777" w:rsidR="00F32BDE" w:rsidRDefault="00F32BDE" w:rsidP="00F32BDE">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411484A" w14:textId="77777777" w:rsidR="00F32BDE" w:rsidRDefault="00F32BDE" w:rsidP="00F32BDE">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660F19FE" w14:textId="77777777" w:rsidR="00F32BDE" w:rsidRDefault="00F32BDE" w:rsidP="00F32BDE">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6C6520AE" w14:textId="77777777" w:rsidR="00F32BDE" w:rsidRPr="007C3E78" w:rsidRDefault="00F32BDE" w:rsidP="00F32BDE">
      <w:pPr>
        <w:spacing w:after="240"/>
        <w:jc w:val="both"/>
        <w:rPr>
          <w:sz w:val="22"/>
          <w:szCs w:val="22"/>
          <w:lang w:eastAsia="cs-CZ"/>
        </w:rPr>
      </w:pP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C20767">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77777777"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04799743" w14:textId="77777777" w:rsidR="00BB65E5" w:rsidRPr="00AB2DF3" w:rsidRDefault="00BB65E5" w:rsidP="002550C0">
            <w:pPr>
              <w:jc w:val="both"/>
              <w:rPr>
                <w:sz w:val="22"/>
                <w:szCs w:val="22"/>
                <w:lang w:eastAsia="cs-CZ"/>
              </w:rPr>
            </w:pPr>
          </w:p>
          <w:p w14:paraId="47AC98D1" w14:textId="3DF7E391"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w:t>
            </w:r>
            <w:r w:rsidRPr="00AB2DF3">
              <w:rPr>
                <w:sz w:val="22"/>
                <w:szCs w:val="22"/>
                <w:lang w:eastAsia="cs-CZ"/>
              </w:rPr>
              <w:lastRenderedPageBreak/>
              <w:t xml:space="preserve">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alebo podlimitnú zákazku</w:t>
            </w:r>
            <w:r w:rsidR="009F1C72">
              <w:rPr>
                <w:sz w:val="22"/>
                <w:szCs w:val="22"/>
                <w:lang w:eastAsia="cs-CZ"/>
              </w:rPr>
              <w:t xml:space="preserve"> a zároveň </w:t>
            </w:r>
            <w:r w:rsidR="009F1C72" w:rsidRPr="009F1C72">
              <w:rPr>
                <w:sz w:val="22"/>
                <w:szCs w:val="22"/>
                <w:lang w:eastAsia="cs-CZ"/>
              </w:rPr>
              <w:t>zákazka nebola zverejnená na webovom sídle prijímateľa a informácia o zverejnení nebola zaslaná na mailový kontakt zakazkycko@vlada.gov.sk</w:t>
            </w:r>
          </w:p>
          <w:p w14:paraId="436F5B99" w14:textId="77777777" w:rsidR="00BB65E5" w:rsidRDefault="00BB65E5" w:rsidP="000611E5">
            <w:pPr>
              <w:jc w:val="both"/>
              <w:rPr>
                <w:sz w:val="22"/>
                <w:szCs w:val="22"/>
                <w:lang w:eastAsia="cs-CZ"/>
              </w:rPr>
            </w:pPr>
          </w:p>
          <w:p w14:paraId="2219D5F9" w14:textId="77777777"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B65E5" w:rsidRPr="00AB2DF3" w14:paraId="12890E46" w14:textId="77777777" w:rsidTr="00BB65E5">
        <w:trPr>
          <w:trHeight w:val="2528"/>
        </w:trPr>
        <w:tc>
          <w:tcPr>
            <w:tcW w:w="675" w:type="dxa"/>
            <w:vMerge/>
            <w:shd w:val="clear" w:color="auto" w:fill="auto"/>
            <w:vAlign w:val="center"/>
          </w:tcPr>
          <w:p w14:paraId="586CC4A8" w14:textId="77777777" w:rsidR="00BB65E5" w:rsidRPr="00AB2DF3" w:rsidRDefault="00BB65E5" w:rsidP="00A91AEF">
            <w:pPr>
              <w:jc w:val="center"/>
              <w:rPr>
                <w:sz w:val="22"/>
                <w:szCs w:val="22"/>
                <w:lang w:eastAsia="cs-CZ"/>
              </w:rPr>
            </w:pPr>
          </w:p>
        </w:tc>
        <w:tc>
          <w:tcPr>
            <w:tcW w:w="3720" w:type="dxa"/>
            <w:vMerge/>
            <w:shd w:val="clear" w:color="auto" w:fill="auto"/>
          </w:tcPr>
          <w:p w14:paraId="5FC1358C" w14:textId="77777777" w:rsidR="00BB65E5" w:rsidRPr="00AB2DF3" w:rsidRDefault="00BB65E5" w:rsidP="002550C0">
            <w:pPr>
              <w:jc w:val="both"/>
              <w:rPr>
                <w:sz w:val="22"/>
                <w:szCs w:val="22"/>
                <w:lang w:eastAsia="cs-CZ"/>
              </w:rPr>
            </w:pPr>
          </w:p>
        </w:tc>
        <w:tc>
          <w:tcPr>
            <w:tcW w:w="7087" w:type="dxa"/>
            <w:shd w:val="clear" w:color="auto" w:fill="auto"/>
          </w:tcPr>
          <w:p w14:paraId="123037DE" w14:textId="77777777"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B65E5" w:rsidRPr="00AB2DF3" w:rsidRDefault="00BB65E5" w:rsidP="00F22C3F">
            <w:pPr>
              <w:jc w:val="both"/>
              <w:rPr>
                <w:sz w:val="22"/>
                <w:szCs w:val="22"/>
                <w:lang w:eastAsia="cs-CZ"/>
              </w:rPr>
            </w:pPr>
          </w:p>
          <w:p w14:paraId="4D1D047F" w14:textId="65C96DF8" w:rsidR="00EC0381" w:rsidRDefault="00BB65E5" w:rsidP="00EC0381">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r w:rsidR="009F1C72">
              <w:rPr>
                <w:sz w:val="22"/>
                <w:szCs w:val="22"/>
                <w:lang w:eastAsia="cs-CZ"/>
              </w:rPr>
              <w:t> </w:t>
            </w:r>
            <w:r w:rsidRPr="00AB2DF3">
              <w:rPr>
                <w:sz w:val="22"/>
                <w:szCs w:val="22"/>
                <w:lang w:eastAsia="cs-CZ"/>
              </w:rPr>
              <w:t>mal</w:t>
            </w:r>
            <w:r w:rsidR="009F1C72">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sidR="00671343">
              <w:rPr>
                <w:sz w:val="22"/>
                <w:szCs w:val="22"/>
                <w:lang w:eastAsia="cs-CZ"/>
              </w:rPr>
              <w:t xml:space="preserve">postupom zadávania </w:t>
            </w:r>
            <w:r w:rsidRPr="00AB2DF3">
              <w:rPr>
                <w:sz w:val="22"/>
                <w:szCs w:val="22"/>
                <w:lang w:eastAsia="cs-CZ"/>
              </w:rPr>
              <w:t>zákazk</w:t>
            </w:r>
            <w:r w:rsidR="00671343">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p>
          <w:p w14:paraId="26C65407" w14:textId="21924A04" w:rsidR="00EC0381" w:rsidRDefault="00EC0381" w:rsidP="00EC0381">
            <w:pPr>
              <w:jc w:val="both"/>
              <w:rPr>
                <w:sz w:val="22"/>
                <w:szCs w:val="22"/>
                <w:lang w:eastAsia="cs-CZ"/>
              </w:rPr>
            </w:pPr>
          </w:p>
          <w:p w14:paraId="2CA0AD0F" w14:textId="33B5A37A" w:rsidR="00BB65E5" w:rsidRPr="00AB2DF3" w:rsidRDefault="00EC0381" w:rsidP="00671343">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sidR="00B06024">
              <w:rPr>
                <w:sz w:val="22"/>
                <w:szCs w:val="22"/>
                <w:lang w:eastAsia="cs-CZ"/>
              </w:rPr>
              <w:t xml:space="preserve"> (a nebolo preukázané vyhnutie sa použitiu pravidiel a postupov podľa ZVO)</w:t>
            </w:r>
            <w:r>
              <w:rPr>
                <w:sz w:val="22"/>
                <w:szCs w:val="22"/>
                <w:lang w:eastAsia="cs-CZ"/>
              </w:rPr>
              <w:t xml:space="preserve">,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tc>
        <w:tc>
          <w:tcPr>
            <w:tcW w:w="2552" w:type="dxa"/>
            <w:shd w:val="clear" w:color="auto" w:fill="auto"/>
          </w:tcPr>
          <w:p w14:paraId="2B1BDD4F" w14:textId="77777777" w:rsidR="00BB65E5" w:rsidRDefault="00BB65E5" w:rsidP="008F28A2">
            <w:pPr>
              <w:jc w:val="both"/>
              <w:rPr>
                <w:sz w:val="22"/>
                <w:szCs w:val="22"/>
                <w:lang w:eastAsia="cs-CZ"/>
              </w:rPr>
            </w:pPr>
            <w:r>
              <w:rPr>
                <w:sz w:val="22"/>
                <w:szCs w:val="22"/>
                <w:lang w:eastAsia="cs-CZ"/>
              </w:rPr>
              <w:t xml:space="preserve">25% </w:t>
            </w:r>
          </w:p>
          <w:p w14:paraId="6705F6C4" w14:textId="77777777" w:rsidR="00BB65E5" w:rsidRPr="00AB2DF3" w:rsidRDefault="00BB65E5" w:rsidP="008F28A2">
            <w:pPr>
              <w:jc w:val="both"/>
              <w:rPr>
                <w:sz w:val="22"/>
                <w:szCs w:val="22"/>
                <w:lang w:eastAsia="cs-CZ"/>
              </w:rPr>
            </w:pPr>
          </w:p>
          <w:p w14:paraId="6AD89996" w14:textId="77777777"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14:paraId="2B2B3D93" w14:textId="77777777" w:rsidTr="00C20767">
        <w:trPr>
          <w:trHeight w:val="456"/>
        </w:trPr>
        <w:tc>
          <w:tcPr>
            <w:tcW w:w="675" w:type="dxa"/>
            <w:vMerge/>
            <w:shd w:val="clear" w:color="auto" w:fill="auto"/>
            <w:vAlign w:val="center"/>
          </w:tcPr>
          <w:p w14:paraId="2EF553CB" w14:textId="77777777" w:rsidR="00BB65E5" w:rsidRPr="00AB2DF3" w:rsidRDefault="00BB65E5" w:rsidP="00A91AEF">
            <w:pPr>
              <w:jc w:val="center"/>
              <w:rPr>
                <w:sz w:val="22"/>
                <w:szCs w:val="22"/>
                <w:lang w:eastAsia="cs-CZ"/>
              </w:rPr>
            </w:pPr>
          </w:p>
        </w:tc>
        <w:tc>
          <w:tcPr>
            <w:tcW w:w="3720" w:type="dxa"/>
            <w:vMerge/>
            <w:shd w:val="clear" w:color="auto" w:fill="auto"/>
          </w:tcPr>
          <w:p w14:paraId="149C6DB6" w14:textId="77777777" w:rsidR="00BB65E5" w:rsidRPr="00AB2DF3" w:rsidRDefault="00BB65E5" w:rsidP="002550C0">
            <w:pPr>
              <w:jc w:val="both"/>
              <w:rPr>
                <w:sz w:val="22"/>
                <w:szCs w:val="22"/>
                <w:lang w:eastAsia="cs-CZ"/>
              </w:rPr>
            </w:pPr>
          </w:p>
        </w:tc>
        <w:tc>
          <w:tcPr>
            <w:tcW w:w="7087" w:type="dxa"/>
            <w:shd w:val="clear" w:color="auto" w:fill="auto"/>
          </w:tcPr>
          <w:p w14:paraId="2707517E" w14:textId="13D82446" w:rsidR="00EA5920" w:rsidRDefault="00B46058" w:rsidP="00012172">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w:t>
            </w:r>
            <w:r w:rsidR="00671343">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r w:rsidR="005A6098">
              <w:rPr>
                <w:sz w:val="22"/>
                <w:szCs w:val="22"/>
                <w:lang w:eastAsia="cs-CZ"/>
              </w:rPr>
              <w:t xml:space="preserve"> </w:t>
            </w:r>
          </w:p>
          <w:p w14:paraId="57CB1DD3" w14:textId="593ED4F8" w:rsidR="00EA5920" w:rsidRDefault="00EA5920" w:rsidP="00012172">
            <w:pPr>
              <w:jc w:val="both"/>
              <w:rPr>
                <w:sz w:val="22"/>
                <w:szCs w:val="22"/>
                <w:lang w:eastAsia="cs-CZ"/>
              </w:rPr>
            </w:pPr>
          </w:p>
          <w:p w14:paraId="5029A639" w14:textId="63C1CD6E" w:rsidR="00BB65E5" w:rsidRPr="00AB2DF3" w:rsidDel="00423634" w:rsidRDefault="005A6098" w:rsidP="00012172">
            <w:pPr>
              <w:jc w:val="both"/>
              <w:rPr>
                <w:sz w:val="22"/>
                <w:szCs w:val="22"/>
                <w:lang w:eastAsia="cs-CZ"/>
              </w:rPr>
            </w:pPr>
            <w:r>
              <w:rPr>
                <w:sz w:val="22"/>
                <w:szCs w:val="22"/>
                <w:lang w:eastAsia="cs-CZ"/>
              </w:rPr>
              <w:t xml:space="preserve">Finančná oprava podľa tohto typu porušenia </w:t>
            </w:r>
            <w:r w:rsidR="00EA5920">
              <w:rPr>
                <w:sz w:val="22"/>
                <w:szCs w:val="22"/>
                <w:lang w:eastAsia="cs-CZ"/>
              </w:rPr>
              <w:t xml:space="preserve">sa v prípade zákaziek podľa predchádzajúceho odseku neuplatní, ak </w:t>
            </w:r>
            <w:r w:rsidR="00EA5920" w:rsidRPr="00EA5920">
              <w:rPr>
                <w:sz w:val="22"/>
                <w:szCs w:val="22"/>
                <w:lang w:eastAsia="cs-CZ"/>
              </w:rPr>
              <w:t xml:space="preserve">prijímateľ oslovil s výzvou na predkladanie ponúk, resp. identifikoval (napr. cez webové rozhranie) </w:t>
            </w:r>
            <w:r w:rsidR="00EA5920">
              <w:rPr>
                <w:sz w:val="22"/>
                <w:szCs w:val="22"/>
                <w:lang w:eastAsia="cs-CZ"/>
              </w:rPr>
              <w:t xml:space="preserve">min. troch vybraných </w:t>
            </w:r>
            <w:r w:rsidR="00EA5920" w:rsidRPr="00EA5920">
              <w:rPr>
                <w:sz w:val="22"/>
                <w:szCs w:val="22"/>
                <w:lang w:eastAsia="cs-CZ"/>
              </w:rPr>
              <w:t>záujemcov</w:t>
            </w:r>
            <w:r w:rsidR="00EA5920">
              <w:rPr>
                <w:sz w:val="22"/>
                <w:szCs w:val="22"/>
                <w:lang w:eastAsia="cs-CZ"/>
              </w:rPr>
              <w:t>.</w:t>
            </w:r>
          </w:p>
        </w:tc>
        <w:tc>
          <w:tcPr>
            <w:tcW w:w="2552" w:type="dxa"/>
            <w:shd w:val="clear" w:color="auto" w:fill="auto"/>
          </w:tcPr>
          <w:p w14:paraId="68DAC101" w14:textId="77777777" w:rsidR="00BB65E5" w:rsidRDefault="00BB65E5" w:rsidP="008F28A2">
            <w:pPr>
              <w:jc w:val="both"/>
              <w:rPr>
                <w:sz w:val="22"/>
                <w:szCs w:val="22"/>
                <w:lang w:eastAsia="cs-CZ"/>
              </w:rPr>
            </w:pPr>
            <w:r>
              <w:rPr>
                <w:sz w:val="22"/>
                <w:szCs w:val="22"/>
                <w:lang w:eastAsia="cs-CZ"/>
              </w:rPr>
              <w:t>10 %</w:t>
            </w: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293F01DF"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7777777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3F436F6E" w14:textId="77777777" w:rsidR="006A38D5" w:rsidRDefault="006A38D5" w:rsidP="00717AC2">
            <w:pPr>
              <w:jc w:val="both"/>
              <w:rPr>
                <w:sz w:val="22"/>
                <w:szCs w:val="22"/>
                <w:lang w:eastAsia="cs-CZ"/>
              </w:rPr>
            </w:pPr>
          </w:p>
          <w:p w14:paraId="1916AFD9" w14:textId="77777777"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lastRenderedPageBreak/>
              <w:t xml:space="preserve">o zverejnení zaslaná na mailový kontakt zakazkycko@vlada.gov.sk </w:t>
            </w:r>
          </w:p>
          <w:p w14:paraId="1664C5FE" w14:textId="77777777" w:rsidR="006A38D5" w:rsidRDefault="006A38D5" w:rsidP="00717AC2">
            <w:pPr>
              <w:jc w:val="both"/>
              <w:rPr>
                <w:sz w:val="22"/>
                <w:szCs w:val="22"/>
                <w:lang w:eastAsia="cs-CZ"/>
              </w:rPr>
            </w:pP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2543B234" w:rsidR="006A38D5" w:rsidRDefault="006A38D5" w:rsidP="00717AC2">
            <w:pPr>
              <w:jc w:val="both"/>
              <w:rPr>
                <w:sz w:val="22"/>
                <w:szCs w:val="22"/>
                <w:lang w:eastAsia="cs-CZ"/>
              </w:rPr>
            </w:pPr>
          </w:p>
        </w:tc>
        <w:tc>
          <w:tcPr>
            <w:tcW w:w="2552" w:type="dxa"/>
            <w:shd w:val="clear" w:color="auto" w:fill="auto"/>
          </w:tcPr>
          <w:p w14:paraId="134D64D6" w14:textId="15D6EF20" w:rsidR="006A38D5" w:rsidRPr="00AB2DF3" w:rsidRDefault="006A38D5" w:rsidP="00C214CE">
            <w:pPr>
              <w:jc w:val="both"/>
              <w:rPr>
                <w:sz w:val="22"/>
                <w:szCs w:val="22"/>
                <w:lang w:eastAsia="cs-CZ"/>
              </w:rPr>
            </w:pPr>
          </w:p>
        </w:tc>
      </w:tr>
      <w:tr w:rsidR="00C361C3" w:rsidRPr="00AB2DF3" w14:paraId="451EAA7B" w14:textId="77777777" w:rsidTr="00C361C3">
        <w:trPr>
          <w:trHeight w:val="503"/>
        </w:trPr>
        <w:tc>
          <w:tcPr>
            <w:tcW w:w="675" w:type="dxa"/>
            <w:vMerge w:val="restart"/>
            <w:shd w:val="clear" w:color="auto" w:fill="auto"/>
            <w:vAlign w:val="center"/>
          </w:tcPr>
          <w:p w14:paraId="04B5BBF6" w14:textId="77777777"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14:paraId="3AA66F22" w14:textId="77777777"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1E023815" w14:textId="77777777" w:rsidR="00C361C3" w:rsidRDefault="00C361C3" w:rsidP="00C361C3">
            <w:pPr>
              <w:jc w:val="both"/>
              <w:rPr>
                <w:sz w:val="22"/>
                <w:szCs w:val="22"/>
                <w:lang w:eastAsia="cs-CZ"/>
              </w:rPr>
            </w:pPr>
          </w:p>
        </w:tc>
        <w:tc>
          <w:tcPr>
            <w:tcW w:w="2552" w:type="dxa"/>
            <w:shd w:val="clear" w:color="auto" w:fill="auto"/>
          </w:tcPr>
          <w:p w14:paraId="562E311B" w14:textId="77777777" w:rsidR="00C361C3" w:rsidRDefault="00C361C3" w:rsidP="002550C0">
            <w:pPr>
              <w:jc w:val="both"/>
              <w:rPr>
                <w:sz w:val="22"/>
                <w:szCs w:val="22"/>
                <w:lang w:eastAsia="cs-CZ"/>
              </w:rPr>
            </w:pPr>
            <w:r>
              <w:rPr>
                <w:sz w:val="22"/>
                <w:szCs w:val="22"/>
                <w:lang w:eastAsia="cs-CZ"/>
              </w:rPr>
              <w:t>25 %</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4AAC42BE" w14:textId="77777777"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D893F00" w14:textId="77777777" w:rsidR="009A4802" w:rsidRPr="00DB4BA0" w:rsidRDefault="009A4802" w:rsidP="00C361C3">
            <w:pPr>
              <w:jc w:val="both"/>
              <w:rPr>
                <w:sz w:val="22"/>
                <w:szCs w:val="22"/>
                <w:lang w:eastAsia="cs-CZ"/>
              </w:rPr>
            </w:pPr>
          </w:p>
        </w:tc>
        <w:tc>
          <w:tcPr>
            <w:tcW w:w="2552" w:type="dxa"/>
            <w:shd w:val="clear" w:color="auto" w:fill="auto"/>
          </w:tcPr>
          <w:p w14:paraId="2542C3E2" w14:textId="77777777" w:rsidR="00C361C3" w:rsidRDefault="00C361C3" w:rsidP="002550C0">
            <w:pPr>
              <w:jc w:val="both"/>
              <w:rPr>
                <w:sz w:val="22"/>
                <w:szCs w:val="22"/>
                <w:lang w:eastAsia="cs-CZ"/>
              </w:rPr>
            </w:pPr>
            <w:r>
              <w:rPr>
                <w:sz w:val="22"/>
                <w:szCs w:val="22"/>
                <w:lang w:eastAsia="cs-CZ"/>
              </w:rPr>
              <w:t>10 %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lastRenderedPageBreak/>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7777777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lastRenderedPageBreak/>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w:t>
            </w:r>
            <w:r>
              <w:rPr>
                <w:sz w:val="22"/>
                <w:szCs w:val="22"/>
                <w:lang w:eastAsia="cs-CZ"/>
              </w:rPr>
              <w:lastRenderedPageBreak/>
              <w:t>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lastRenderedPageBreak/>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lastRenderedPageBreak/>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xml:space="preserve">, čo môže ovplyvniť </w:t>
            </w:r>
            <w:r w:rsidR="00C10BB2">
              <w:rPr>
                <w:sz w:val="22"/>
                <w:szCs w:val="22"/>
                <w:lang w:eastAsia="cs-CZ"/>
              </w:rPr>
              <w:lastRenderedPageBreak/>
              <w:t>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lastRenderedPageBreak/>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77777777"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80F3DA9" w14:textId="77777777"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6BBD37A9" w14:textId="77777777"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777777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236498F3" w14:textId="77777777" w:rsidR="00E5186C" w:rsidRDefault="00E5186C" w:rsidP="00E5186C">
            <w:pPr>
              <w:jc w:val="both"/>
              <w:rPr>
                <w:sz w:val="22"/>
                <w:szCs w:val="22"/>
              </w:rPr>
            </w:pPr>
          </w:p>
          <w:p w14:paraId="654C5779" w14:textId="77777777"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3CC4BBD0" w14:textId="77777777" w:rsidR="00E5186C" w:rsidRPr="002550C0" w:rsidRDefault="00E5186C" w:rsidP="00E5186C">
            <w:pPr>
              <w:jc w:val="both"/>
              <w:rPr>
                <w:sz w:val="22"/>
                <w:szCs w:val="22"/>
              </w:rPr>
            </w:pPr>
            <w:r>
              <w:rPr>
                <w:sz w:val="22"/>
                <w:szCs w:val="22"/>
              </w:rPr>
              <w:t>5</w:t>
            </w:r>
            <w:r w:rsidRPr="00E5186C">
              <w:rPr>
                <w:sz w:val="22"/>
                <w:szCs w:val="22"/>
              </w:rPr>
              <w:t xml:space="preserve"> % </w:t>
            </w:r>
          </w:p>
        </w:tc>
      </w:tr>
      <w:tr w:rsidR="00EA5920" w:rsidRPr="00AB2DF3" w14:paraId="10EDF81F" w14:textId="77777777" w:rsidTr="00B93063">
        <w:trPr>
          <w:trHeight w:val="5970"/>
        </w:trPr>
        <w:tc>
          <w:tcPr>
            <w:tcW w:w="675" w:type="dxa"/>
            <w:shd w:val="clear" w:color="auto" w:fill="auto"/>
          </w:tcPr>
          <w:p w14:paraId="7997E508" w14:textId="77777777" w:rsidR="00EA5920" w:rsidRDefault="00EA5920" w:rsidP="006E2E76">
            <w:pPr>
              <w:jc w:val="center"/>
              <w:rPr>
                <w:sz w:val="22"/>
                <w:szCs w:val="22"/>
              </w:rPr>
            </w:pPr>
          </w:p>
          <w:p w14:paraId="533A51C0" w14:textId="77777777" w:rsidR="00EA5920" w:rsidRDefault="00EA5920" w:rsidP="006E2E76">
            <w:pPr>
              <w:jc w:val="center"/>
              <w:rPr>
                <w:sz w:val="22"/>
                <w:szCs w:val="22"/>
              </w:rPr>
            </w:pPr>
          </w:p>
          <w:p w14:paraId="7F5F17AD" w14:textId="77777777" w:rsidR="00EA5920" w:rsidRDefault="00EA5920" w:rsidP="006E2E76">
            <w:pPr>
              <w:jc w:val="center"/>
              <w:rPr>
                <w:sz w:val="22"/>
                <w:szCs w:val="22"/>
              </w:rPr>
            </w:pPr>
          </w:p>
          <w:p w14:paraId="7E1C3B62" w14:textId="77777777" w:rsidR="00EA5920" w:rsidRDefault="00EA5920" w:rsidP="006E2E76">
            <w:pPr>
              <w:jc w:val="center"/>
              <w:rPr>
                <w:sz w:val="22"/>
                <w:szCs w:val="22"/>
              </w:rPr>
            </w:pPr>
          </w:p>
          <w:p w14:paraId="1C1F2267" w14:textId="77777777" w:rsidR="00EA5920" w:rsidRDefault="00EA5920" w:rsidP="006E2E76">
            <w:pPr>
              <w:jc w:val="center"/>
              <w:rPr>
                <w:sz w:val="22"/>
                <w:szCs w:val="22"/>
              </w:rPr>
            </w:pPr>
          </w:p>
          <w:p w14:paraId="7177905F" w14:textId="77777777" w:rsidR="00EA5920" w:rsidRDefault="00EA5920" w:rsidP="006E2E76">
            <w:pPr>
              <w:jc w:val="center"/>
              <w:rPr>
                <w:sz w:val="22"/>
                <w:szCs w:val="22"/>
              </w:rPr>
            </w:pPr>
          </w:p>
          <w:p w14:paraId="12EA8D3E" w14:textId="77777777" w:rsidR="00EA5920" w:rsidRDefault="00EA5920" w:rsidP="006E2E76">
            <w:pPr>
              <w:jc w:val="center"/>
              <w:rPr>
                <w:sz w:val="22"/>
                <w:szCs w:val="22"/>
              </w:rPr>
            </w:pPr>
          </w:p>
          <w:p w14:paraId="4B393966" w14:textId="77777777" w:rsidR="00EA5920" w:rsidRDefault="00EA5920" w:rsidP="006E2E76">
            <w:pPr>
              <w:jc w:val="center"/>
              <w:rPr>
                <w:sz w:val="22"/>
                <w:szCs w:val="22"/>
              </w:rPr>
            </w:pPr>
          </w:p>
          <w:p w14:paraId="6D5BC888" w14:textId="77777777" w:rsidR="00EA5920" w:rsidRDefault="00EA5920" w:rsidP="006E2E76">
            <w:pPr>
              <w:jc w:val="center"/>
              <w:rPr>
                <w:sz w:val="22"/>
                <w:szCs w:val="22"/>
              </w:rPr>
            </w:pPr>
          </w:p>
          <w:p w14:paraId="7528F85F" w14:textId="77777777" w:rsidR="00EA5920" w:rsidRDefault="00EA5920" w:rsidP="006E2E76">
            <w:pPr>
              <w:jc w:val="center"/>
              <w:rPr>
                <w:sz w:val="22"/>
                <w:szCs w:val="22"/>
              </w:rPr>
            </w:pPr>
          </w:p>
          <w:p w14:paraId="3FCD552A" w14:textId="77777777" w:rsidR="00EA5920" w:rsidRPr="00AB2DF3" w:rsidRDefault="00EA5920"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38B138A" w:rsidR="00EA5920" w:rsidRPr="00AB2DF3" w:rsidRDefault="00EA5920"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sidR="00BE1371">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sidR="00BE1371">
              <w:rPr>
                <w:sz w:val="22"/>
                <w:szCs w:val="22"/>
              </w:rPr>
              <w:t>v</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r>
              <w:rPr>
                <w:sz w:val="22"/>
                <w:szCs w:val="22"/>
              </w:rPr>
              <w:t>, ak prijímateľ nezverejnil výzvu na predkladanie ponúk na svojom webovom sídle a informáciu o zverejnení nezaslal na mailový kontakt zakazkycko@vlada.gov.sk</w:t>
            </w:r>
          </w:p>
        </w:tc>
        <w:tc>
          <w:tcPr>
            <w:tcW w:w="7087" w:type="dxa"/>
            <w:shd w:val="clear" w:color="auto" w:fill="auto"/>
          </w:tcPr>
          <w:p w14:paraId="62C986C5" w14:textId="1B6C8CE1" w:rsidR="00EA5920" w:rsidRPr="002550C0" w:rsidRDefault="00EA5920"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w:t>
            </w:r>
            <w:r w:rsidRPr="009509F4">
              <w:rPr>
                <w:sz w:val="22"/>
                <w:szCs w:val="22"/>
              </w:rPr>
              <w:t xml:space="preserve"> resp. neidentifikoval minimálne troch potenciálnych dodávateľov (napr. cez webové rozhranie)</w:t>
            </w:r>
            <w:r>
              <w:rPr>
                <w:sz w:val="22"/>
                <w:szCs w:val="22"/>
              </w:rPr>
              <w:t xml:space="preserve"> a </w:t>
            </w:r>
            <w:r w:rsidRPr="006A73BD">
              <w:rPr>
                <w:sz w:val="22"/>
                <w:szCs w:val="22"/>
              </w:rPr>
              <w:t>nezverejnil výzvu na predkladanie ponúk na svojom webovom sídle a informáciu o zverejnení nezaslal na mailový kontakt zakazkycko@vlada.gov.sk</w:t>
            </w:r>
          </w:p>
          <w:p w14:paraId="68442648" w14:textId="77777777" w:rsidR="00EA5920" w:rsidRPr="002550C0" w:rsidRDefault="00EA5920" w:rsidP="006E2E76">
            <w:pPr>
              <w:jc w:val="both"/>
              <w:rPr>
                <w:sz w:val="22"/>
                <w:szCs w:val="22"/>
              </w:rPr>
            </w:pPr>
          </w:p>
          <w:p w14:paraId="197D7585" w14:textId="01695820" w:rsidR="00EA5920" w:rsidRDefault="00EA5920"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a nezverejnil výzvu na predkladanie ponúk na svojom webovom sídle a informáciu o zverejnení nezaslal na mailový kontakt zakazkycko@vlada.gov.sk</w:t>
            </w:r>
          </w:p>
          <w:p w14:paraId="5ADF671C" w14:textId="77777777" w:rsidR="00EA5920" w:rsidRPr="00AB2DF3" w:rsidRDefault="00EA5920" w:rsidP="006E2E76">
            <w:pPr>
              <w:jc w:val="both"/>
              <w:rPr>
                <w:sz w:val="22"/>
                <w:szCs w:val="22"/>
                <w:lang w:eastAsia="cs-CZ"/>
              </w:rPr>
            </w:pPr>
          </w:p>
          <w:p w14:paraId="47838339" w14:textId="384D4BC4" w:rsidR="00EA5920" w:rsidRDefault="00EA5920"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EA5920" w:rsidRDefault="00EA5920" w:rsidP="006E2E76">
            <w:pPr>
              <w:jc w:val="both"/>
              <w:rPr>
                <w:sz w:val="22"/>
                <w:szCs w:val="22"/>
                <w:lang w:eastAsia="cs-CZ"/>
              </w:rPr>
            </w:pPr>
          </w:p>
          <w:p w14:paraId="7553BB51" w14:textId="77777777" w:rsidR="00EA5920" w:rsidRPr="00EA5920" w:rsidRDefault="00EA5920" w:rsidP="00EA5920">
            <w:pPr>
              <w:jc w:val="both"/>
              <w:rPr>
                <w:sz w:val="22"/>
                <w:szCs w:val="22"/>
                <w:lang w:eastAsia="cs-CZ"/>
              </w:rPr>
            </w:pPr>
          </w:p>
          <w:p w14:paraId="1B4E0AAF" w14:textId="77777777" w:rsidR="00EA5920" w:rsidRDefault="00EA5920" w:rsidP="006E2E76">
            <w:pPr>
              <w:jc w:val="both"/>
              <w:rPr>
                <w:sz w:val="22"/>
                <w:szCs w:val="22"/>
                <w:lang w:eastAsia="cs-CZ"/>
              </w:rPr>
            </w:pPr>
          </w:p>
          <w:p w14:paraId="1BFCA169" w14:textId="77777777" w:rsidR="00EA5920" w:rsidRPr="00AB2DF3" w:rsidRDefault="00EA5920" w:rsidP="006E2E76">
            <w:pPr>
              <w:jc w:val="both"/>
              <w:rPr>
                <w:sz w:val="22"/>
                <w:szCs w:val="22"/>
                <w:lang w:eastAsia="cs-CZ"/>
              </w:rPr>
            </w:pPr>
          </w:p>
        </w:tc>
        <w:tc>
          <w:tcPr>
            <w:tcW w:w="2552" w:type="dxa"/>
            <w:shd w:val="clear" w:color="auto" w:fill="auto"/>
          </w:tcPr>
          <w:p w14:paraId="45C8F7B6" w14:textId="77777777" w:rsidR="00EA5920" w:rsidRPr="00AB2DF3" w:rsidRDefault="00EA5920"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EA5920" w:rsidRPr="00AB2DF3" w:rsidRDefault="00EA5920" w:rsidP="006E2E76">
            <w:pPr>
              <w:jc w:val="both"/>
              <w:rPr>
                <w:sz w:val="22"/>
                <w:szCs w:val="22"/>
                <w:lang w:eastAsia="cs-CZ"/>
              </w:rPr>
            </w:pPr>
          </w:p>
          <w:p w14:paraId="5D9DF088" w14:textId="77777777" w:rsidR="00EA5920" w:rsidRDefault="00EA5920" w:rsidP="006E2E76">
            <w:pPr>
              <w:jc w:val="both"/>
              <w:rPr>
                <w:sz w:val="22"/>
                <w:szCs w:val="22"/>
                <w:lang w:eastAsia="cs-CZ"/>
              </w:rPr>
            </w:pPr>
          </w:p>
          <w:p w14:paraId="0F2170B8" w14:textId="77777777" w:rsidR="00EA5920" w:rsidRPr="00AB2DF3" w:rsidRDefault="00EA5920" w:rsidP="006E2E76">
            <w:pPr>
              <w:jc w:val="both"/>
              <w:rPr>
                <w:sz w:val="22"/>
                <w:szCs w:val="22"/>
                <w:lang w:eastAsia="cs-CZ"/>
              </w:rPr>
            </w:pPr>
          </w:p>
        </w:tc>
      </w:tr>
      <w:tr w:rsidR="00EA5920" w:rsidRPr="00AB2DF3" w14:paraId="78BD3F4A" w14:textId="77777777" w:rsidTr="00C20767">
        <w:trPr>
          <w:trHeight w:val="1307"/>
        </w:trPr>
        <w:tc>
          <w:tcPr>
            <w:tcW w:w="675" w:type="dxa"/>
            <w:shd w:val="clear" w:color="auto" w:fill="auto"/>
          </w:tcPr>
          <w:p w14:paraId="15E9E2C1" w14:textId="77777777" w:rsidR="00EA5920" w:rsidRDefault="00EA5920" w:rsidP="006E2E76">
            <w:pPr>
              <w:jc w:val="center"/>
              <w:rPr>
                <w:sz w:val="22"/>
                <w:szCs w:val="22"/>
              </w:rPr>
            </w:pPr>
          </w:p>
        </w:tc>
        <w:tc>
          <w:tcPr>
            <w:tcW w:w="3720" w:type="dxa"/>
            <w:vMerge/>
            <w:shd w:val="clear" w:color="auto" w:fill="auto"/>
          </w:tcPr>
          <w:p w14:paraId="48ACB804" w14:textId="77777777" w:rsidR="00EA5920" w:rsidRPr="002550C0" w:rsidRDefault="00EA5920" w:rsidP="006E2E76">
            <w:pPr>
              <w:jc w:val="both"/>
              <w:rPr>
                <w:sz w:val="22"/>
                <w:szCs w:val="22"/>
              </w:rPr>
            </w:pPr>
          </w:p>
        </w:tc>
        <w:tc>
          <w:tcPr>
            <w:tcW w:w="7087" w:type="dxa"/>
            <w:shd w:val="clear" w:color="auto" w:fill="auto"/>
          </w:tcPr>
          <w:p w14:paraId="251C4A3F" w14:textId="64A1CD1E" w:rsidR="00EA5920" w:rsidRPr="002550C0" w:rsidRDefault="00EA5920" w:rsidP="006E2E76">
            <w:pPr>
              <w:jc w:val="both"/>
              <w:rPr>
                <w:sz w:val="22"/>
                <w:szCs w:val="22"/>
              </w:rPr>
            </w:pP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49590FBA" w14:textId="6B07D61D" w:rsidR="00EA5920" w:rsidRDefault="00EA5920" w:rsidP="006E2E76">
            <w:pPr>
              <w:jc w:val="both"/>
              <w:rPr>
                <w:sz w:val="22"/>
                <w:szCs w:val="22"/>
                <w:lang w:eastAsia="cs-CZ"/>
              </w:rPr>
            </w:pPr>
            <w:r>
              <w:rPr>
                <w:sz w:val="22"/>
                <w:szCs w:val="22"/>
                <w:lang w:eastAsia="cs-CZ"/>
              </w:rPr>
              <w:t>10 %</w:t>
            </w: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 xml:space="preserve">po otvorení </w:t>
            </w:r>
            <w:r w:rsidR="006E2E76" w:rsidRPr="00AB2DF3">
              <w:rPr>
                <w:sz w:val="22"/>
                <w:szCs w:val="22"/>
                <w:lang w:eastAsia="cs-CZ"/>
              </w:rPr>
              <w:lastRenderedPageBreak/>
              <w:t>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xml:space="preserve">, čo malo za následok prijatie ponúk/žiadostí o účasť uchádzačov/záujemcov, </w:t>
            </w:r>
            <w:r w:rsidRPr="00AB2DF3">
              <w:rPr>
                <w:sz w:val="22"/>
                <w:szCs w:val="22"/>
                <w:lang w:eastAsia="cs-CZ"/>
              </w:rPr>
              <w:lastRenderedPageBreak/>
              <w:t>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C20767">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77777777"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 xml:space="preserve">odifikácia (zmena) ponuky počas </w:t>
            </w:r>
            <w:r w:rsidR="006E2E76" w:rsidRPr="00AB2DF3">
              <w:rPr>
                <w:sz w:val="22"/>
                <w:szCs w:val="22"/>
                <w:lang w:eastAsia="cs-CZ"/>
              </w:rPr>
              <w:lastRenderedPageBreak/>
              <w:t>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 xml:space="preserve">/žiadosti o účasť, čo má </w:t>
            </w:r>
            <w:r w:rsidR="00733435">
              <w:rPr>
                <w:sz w:val="22"/>
                <w:szCs w:val="22"/>
                <w:lang w:eastAsia="cs-CZ"/>
              </w:rPr>
              <w:lastRenderedPageBreak/>
              <w:t>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w:t>
            </w:r>
            <w:r w:rsidRPr="00AB2DF3">
              <w:rPr>
                <w:sz w:val="22"/>
                <w:szCs w:val="22"/>
                <w:lang w:eastAsia="cs-CZ"/>
              </w:rPr>
              <w:lastRenderedPageBreak/>
              <w:t>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7777777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C20767">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3502ABA9"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AF459C4"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27D4B2EC"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5E0DFB4"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C20767">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5160A4A9"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0399CD4D"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3E65B7A6"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77777777"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w:t>
            </w:r>
            <w:r w:rsidR="008873CB">
              <w:rPr>
                <w:sz w:val="22"/>
                <w:szCs w:val="22"/>
                <w:lang w:eastAsia="cs-CZ"/>
              </w:rPr>
              <w:lastRenderedPageBreak/>
              <w:t>sa nevzťahuje pôsobnosť ZVO</w:t>
            </w:r>
          </w:p>
        </w:tc>
        <w:tc>
          <w:tcPr>
            <w:tcW w:w="7087" w:type="dxa"/>
            <w:shd w:val="clear" w:color="auto" w:fill="auto"/>
          </w:tcPr>
          <w:p w14:paraId="66CEFEB0" w14:textId="77777777"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w:t>
            </w:r>
            <w:r w:rsidRPr="00AB2DF3">
              <w:rPr>
                <w:sz w:val="22"/>
                <w:szCs w:val="22"/>
                <w:lang w:eastAsia="cs-CZ"/>
              </w:rPr>
              <w:lastRenderedPageBreak/>
              <w:t>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77777777"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5F432961"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w:t>
            </w:r>
            <w:r w:rsidRPr="00AB2DF3">
              <w:rPr>
                <w:sz w:val="22"/>
                <w:szCs w:val="22"/>
                <w:lang w:eastAsia="cs-CZ"/>
              </w:rPr>
              <w:lastRenderedPageBreak/>
              <w:t>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34A29" w14:textId="77777777" w:rsidR="000B10F6" w:rsidRDefault="000B10F6" w:rsidP="00B948E0">
      <w:r>
        <w:separator/>
      </w:r>
    </w:p>
  </w:endnote>
  <w:endnote w:type="continuationSeparator" w:id="0">
    <w:p w14:paraId="559AC58B" w14:textId="77777777" w:rsidR="000B10F6" w:rsidRDefault="000B10F6"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67170" w14:textId="77777777" w:rsidR="00F32BDE" w:rsidRDefault="00F32BD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245BEF" wp14:editId="47E79300">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186450E"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47170E19"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9264" behindDoc="1" locked="0" layoutInCell="1" allowOverlap="1" wp14:anchorId="19FF432B" wp14:editId="70C07CC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20767">
          <w:rPr>
            <w:noProof/>
          </w:rPr>
          <w:t>1</w:t>
        </w:r>
        <w:r w:rsidRPr="00CF60E2">
          <w:fldChar w:fldCharType="end"/>
        </w:r>
      </w:sdtContent>
    </w:sdt>
  </w:p>
  <w:p w14:paraId="3310CCD5" w14:textId="77777777" w:rsidR="0039710F" w:rsidRDefault="0039710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52E5" w14:textId="77777777" w:rsidR="00F32BDE" w:rsidRDefault="00F32B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8BC4D" w14:textId="77777777" w:rsidR="000B10F6" w:rsidRDefault="000B10F6" w:rsidP="00B948E0">
      <w:r>
        <w:separator/>
      </w:r>
    </w:p>
  </w:footnote>
  <w:footnote w:type="continuationSeparator" w:id="0">
    <w:p w14:paraId="06F4C54E" w14:textId="77777777" w:rsidR="000B10F6" w:rsidRDefault="000B10F6"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7777777"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F18D5" w14:textId="77777777" w:rsidR="00F32BDE" w:rsidRDefault="00F32BD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F12A" w14:textId="4246C9A5" w:rsidR="0039710F" w:rsidRPr="00CF60E2" w:rsidRDefault="00F32BDE" w:rsidP="00CF60E2">
    <w:pPr>
      <w:tabs>
        <w:tab w:val="center" w:pos="4536"/>
        <w:tab w:val="right" w:pos="9072"/>
      </w:tabs>
    </w:pPr>
    <w:r w:rsidRPr="00F32BDE">
      <w:t>4. Vzor prílohy č. 4 rozhodnutia o schválení žiadosti o poskytnutie nenávratného finančného príspevku - Finančné opravy za porušenie pravidiel a postupov verejného obstarávania</w:t>
    </w:r>
  </w:p>
  <w:p w14:paraId="7FB4F331" w14:textId="30B28A2C" w:rsidR="0039710F" w:rsidRDefault="00F32BDE">
    <w:pPr>
      <w:pStyle w:val="Hlavika"/>
    </w:pPr>
    <w:r w:rsidRPr="00CF60E2">
      <w:rPr>
        <w:noProof/>
      </w:rPr>
      <mc:AlternateContent>
        <mc:Choice Requires="wps">
          <w:drawing>
            <wp:anchor distT="0" distB="0" distL="114300" distR="114300" simplePos="0" relativeHeight="251660288" behindDoc="0" locked="0" layoutInCell="1" allowOverlap="1" wp14:anchorId="50BE365B" wp14:editId="67C2EA03">
              <wp:simplePos x="0" y="0"/>
              <wp:positionH relativeFrom="column">
                <wp:posOffset>51181</wp:posOffset>
              </wp:positionH>
              <wp:positionV relativeFrom="paragraph">
                <wp:posOffset>61670</wp:posOffset>
              </wp:positionV>
              <wp:extent cx="8858707" cy="28728"/>
              <wp:effectExtent l="57150" t="38100" r="76200" b="85725"/>
              <wp:wrapNone/>
              <wp:docPr id="3" name="Rovná spojnica 3"/>
              <wp:cNvGraphicFramePr/>
              <a:graphic xmlns:a="http://schemas.openxmlformats.org/drawingml/2006/main">
                <a:graphicData uri="http://schemas.microsoft.com/office/word/2010/wordprocessingShape">
                  <wps:wsp>
                    <wps:cNvCnPr/>
                    <wps:spPr>
                      <a:xfrm flipV="1">
                        <a:off x="0" y="0"/>
                        <a:ext cx="8858707" cy="28728"/>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01B86D6" id="Rovná spojnica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4.85pt" to="701.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" strokecolor="#4f81bd" strokeweight="3pt">
              <v:shadow on="t" color="black" opacity="22937f" origin=",.5" offset="0,.63889mm"/>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052FC" w14:textId="77777777" w:rsidR="00F32BDE" w:rsidRDefault="00F32B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10F6"/>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339B1"/>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3ED0"/>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A004C4"/>
    <w:rsid w:val="00A066FB"/>
    <w:rsid w:val="00A1238C"/>
    <w:rsid w:val="00A144AE"/>
    <w:rsid w:val="00A15201"/>
    <w:rsid w:val="00A16A12"/>
    <w:rsid w:val="00A371E3"/>
    <w:rsid w:val="00A5550F"/>
    <w:rsid w:val="00A57075"/>
    <w:rsid w:val="00A63907"/>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5991"/>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F180B"/>
    <w:rsid w:val="00BF5AD5"/>
    <w:rsid w:val="00C017D9"/>
    <w:rsid w:val="00C10BB2"/>
    <w:rsid w:val="00C1469F"/>
    <w:rsid w:val="00C20767"/>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1451"/>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2BDE"/>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B3969-F448-49DE-ABFF-45B81587B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5487</Words>
  <Characters>31276</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2021-04-28T18:23:00Z</dcterms:modified>
</cp:coreProperties>
</file>